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D26" w:rsidRPr="00154036" w:rsidRDefault="00E94D26" w:rsidP="00E94D26">
      <w:pPr>
        <w:spacing w:after="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>8. MEĐUNARODNA KONFERENCIJA</w:t>
      </w:r>
    </w:p>
    <w:p w:rsidR="00E94D26" w:rsidRPr="00154036" w:rsidRDefault="00E94D26" w:rsidP="00E94D26">
      <w:pPr>
        <w:spacing w:after="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br/>
      </w:r>
      <w:proofErr w:type="gramStart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>“ KONDICIJSKA</w:t>
      </w:r>
      <w:proofErr w:type="gramEnd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PRIPREMA SPORTAŠA  2010.“</w:t>
      </w:r>
    </w:p>
    <w:p w:rsidR="00E94D26" w:rsidRPr="00154036" w:rsidRDefault="00E94D26" w:rsidP="00E94D26">
      <w:pPr>
        <w:spacing w:after="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S glavnom temom: “Trening brzine, agilnosti i eksplozivnosti”  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br/>
        <w:t xml:space="preserve">BIOMEHANIČKA UVJETOVANOST I METODIČKI ASPEKTI RAZVOJA JAKOSTI I SNAGE U ODBOJKAŠA NA PIJESKU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Autor: Marija Paradžik, prof.  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UVOD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Zbog specifičnih karakteristika pijeska, brojni su znanstvenici i stručnjaci iz područja kondicijske pripreme sportaša posvetili vrijeme istraživanju utjecaja treninga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na razvoj sposobnosti. No, usprkos općoj spoznaji o osnovnoj biomehaničkoj strukturi odbojke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pijesku, treneri u pravilu imaju premalo egzaktnih informacija o prostorno vremenskim i dinamičkim osobitostima gibanja sportaša kroz pijesak zbog čega često primjenjuju metodologiju dvoranske odbojke za razvoj specifičnih motoričkih sposobnosti ključnih za uspješnu izvedbu. U Hrvatskoj su nažalost, pored čestog slučaja nestručnog provođenja kondicijskog programa, igrači često prepušteni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sami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sebi u provedbi ovog segmenta treninga. Važno je istaknuti da je sport izvođen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značajno različit u odnosu na isti sport izvođen na čvrstoj podlozi budući da su propustljivost i trenje na pijesku različiti i zahtijevaju uporabu metoda kontrole pokreta koji su drugačiji od onih na čvrstoj podlozi.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Kako se ljudsko tijelo kompenzira dok se kreće kroz pijesak trebalo bi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primarno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uzeti u obzir prilikom dizajniranja sportsko-specifičnog programa pripreme  igrača odbojke na pijesku.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br/>
        <w:t xml:space="preserve">FIZIOLOŠKO-BIOMEHANIČKE KARAKTERISTIKE TRENINGA NA PIJESKU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Kada se trening odvija na pijesku, čvrste sile reakcije podloge, na koje se sportaš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lastRenderedPageBreak/>
        <w:t>uobičajeno ''oslanja'' na tvrdoj podlozi, modificirane su promjenjivom i propustljivom podlogom koja popušta kada sportaš na nju primjeni mišićnu silu. Nedostatak sposobnosti proizvodnje sila reakcije podloge izaziva i narušava stabilnost cijelog tijela, kao i sposobnost uporabe mehanizma trostruke ekstenzije (skočni zglob, koljeno i kuk) s ciljem uspješnog pokretanja tijela naprijed i gore (Tilp, Wagner, Mller, Franzens, 2008).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Neotpornost pijeska, pri kretanju tijela, otežava skočnom zglobu potisak uzduž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vertikalne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osi i kao posljedica toga propada unatrag (u pijesak) u pokušaju povećanja propulzije (kretanja naprijed i u vis), (Smith,  2006).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Nadalje, zbog nestabilnosti i propustljivosti pijeska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od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mišića i tetiva stopala zahtjeva se dodatni ''prekovremeni'' rad kako bi stabilizirali stopalo, što za posljedicu ima veliku potrošnju energije. Povećanje potrošnje energije pri kretanju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nastaje dakle, zbog dodatnog mehaničkog rada i smanjene efikasnosti pozitivnog djelovanja mišića i tetiva.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(Zamparo, Perini, Orizio, Sacher, Ferretti, 1992).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Istraživanja pokazuju da samo hodanje na pijesku zahtjeva 1,6-2,5 puta više mehaničkog rada i 2,1-2,7 puta više energije nego na tvrdoj podlozi pri istoj brzini (Lejeune, Willems, Heglund, 2001) a udjel pojedinih energetskih sustava otkriva više vrijednosti od 1,6 i 1,5 za aerobnu i 3,7 i 2.7 za anaerobnu komponentu izvora energije ( Pinnington, Dawson, 2003).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Kako bi kompenziralo promjene sila reakcije podloge, tijelo nastoji balansirati i izjednačiti pokret povećanjem sile i amplitude pokreta ekstenzije u zglobu kuka.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Aktivacija puno većeg broja mišićnih vlakana nego pri izvođenju istih pokreta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čvrstoj podlozi objašnjava vrlo primjetni osjećaj brzog zamaranja kod treninga na pijesku.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(Shi-ming, 2004).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Sukladno tome, pri treningu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zabilježeni su veći uloženi trud, veća potrošnja energije, kao i veća koncentracija laktata u krvi u odnosu na trening proveden na čvrstim i/ili travnatim podlogama. Ove karakteristike čine odbojku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sportom s povećanim zahtjevima za anaerobni i aerobni kapacitet.  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>UTJECAJ PIJESKA NA RAZVOJ BRZINE, AGILNOSTI I EKSPLOZIVNOSTI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lastRenderedPageBreak/>
        <w:t xml:space="preserve">Odbojka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je sport u kojem je dominantna jakost, sport koji zahtijeva aktivnosti u kratkom trajanju s ekstremno visokom izlaznom snagom, brzu i ponavljanu uporabu sile izvodeći pokrete kao što su smeč skok, skok u blok, eksplozivne reakcije na i prema lopti, prizemljenja i padove, agilnost i reaktivnost. Otežavajuće okolnosti koje proizlaze iz kompenzacijskih zahtjeva pri kretanju kroz pijesak, značajno utječu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visinu vertikalnog odraza kao i na smanjenu sposobnost promjene pravca i ubrzanja (Giatsis, Kollias, Panoutsakopoulos, Papaiakovou, 2004).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Negativan utjecaj ne znači da se navedene sposobnosti ne mogu razvijati treningom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pijesku. Istraživanja su pokazala kako se treningom u pijesku postiže isti ili sličan napredak u povećanju sprinterske i skakačke sposobnosti u usporedbi sa istim treningom provođenim na travnatim ili tvrdim podlogama (Impellizzeri, Rampinini, Castagna, Martino, Fiorini,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Wisloff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>, 2007).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Dobra strana pijeska je da ima snažan učinak pliometrijskog odgovora kada se uvede u uobičajeni trenažni program bilo koje sportske aktivnosti putem povećanja sposobnosti aktivacije većeg broja tzv.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„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ekstra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vlakana“. Negativna strana je, da dugotrajna uporaba treninga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pijesku, može smanjiti stupanj razvoja sile koji je ključan kod visine vertikalnog odraza.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Razlog tome je propadanje stopala u pijesak što rezultira povećanjem vremena kontrakcije, a posljedica toga je slabija eksplozivna snaga (Smith, 2006).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Slična je stvar i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sa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maksimalnom brzinom.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Zbog propadanja stopala u pijesak, vrijeme kontakta s podlogom je značajno duže.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Trčanje u pijesku ne samo da narušava dinamičke stereotipe u motoričkim obrascima, nego dramatično mijenja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te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obrasce. Budući, mišićni receptori podešavaju reaktivno vrijeme podlozi, trčanje u pijesku ne podražava eksplozivni (istezanje-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skupljanje )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sprinterski kontakt u fazi maksimalne brzine.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To znači da sprintevi u pijesku nisu primjereni za razvoj maksimalne brzine, no treba naglasiti kako zapravo maksimalna brzina kao sposobnost se vrlo rijetko ispoljava u odbojci jer sportaš koristi mehaniku trostruke ekstenzije i za skokove i kratke sprintove.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Razumijevanje mehanike trostruke ekstenzije ključno je za razvoj učinkovitog trening programa za odbojke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(Blackwood, 2005).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lastRenderedPageBreak/>
        <w:t xml:space="preserve">METODIČKI ASPEKTI RAZVOJA JAKOSTI I SNAGE KOD PJESKAŠA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Polazeći od podataka od prosječno 219,0 skokova po utakmici, 100,5 po setu i 5,8 po poenu, od čega  44% smeč skokova, 39% skokova u blok i 17% servis skokova, vidljivo je kako brzinska jakost (tip jakosti koji zbog koordiniranog refleksa elastične i kontraktilne komponente mišićne kontrakcije autori nazivaju i eksplozivna jakost, elastična jakost, odnosno, zbog velikog značaja brzine i snaga - Dick, 1997), zauzima ključnu, dominantnu motoričku sposobnost o kojoj ovisi uspješnost izvedbe u odbojci na pijesku (Turpin- Perez,  Cortell, Chinchilla, Cejuela, Suarez, 2008).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Pri dizajniranju programa za odbojku na pijesku prije svega treba uzeti u obzir način kako tijelo kompenzira i reagira na promjene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podloge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. Kompenzatorni mehanizmi za kretanje u pijesku dovode do povećanja zahtjeva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stražnju ložu kao primarnog ekstenzora kuka što znači da bi kompletan specifični trening program trebao uključivati posebnu pozornost treningu ekstenzije kuka kroz funkciju stražnje lože, uključujući pri tome elemente nestabilnosti.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Nadalje, pri izboru prioritetnih metoda za razvoj specifičnih motoričkih sposobnosti treba voditi računa o mjestu izvođenja treninga, odnosno podlozi na kojoj se odvijaju trenažni sadržaji: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- u teretani ( razvoj maksimalne snage, brzinske jakosti)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- na pijesku ( razvoj agilnosti, brzinske jakosti)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- na atletskoj stazi / travi ( razvoj aerobne i anaerobne izdržljivosti, brzine)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Kombinacijom različitih trenažnih podloga („metoda kontrasta“) osigurat će se jedan od osnovnih uvjeta za maksimalni razvoj skakačkih sposobnosti u pijesku a to je postupna, kontinuirana adaptacija i inervacija cjelokupnog neuro-mišićnog sustava čime se izbjegava nagli „šok“ prelaska s tvrde podloge u pripremnom periodu na meku pješčanu podlogu u prednatjecateljskom periodu (kako je inače praksa u  regijama s dugom i hladnom zimom).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Sukladno tomu, godišnji ciklus planiranja i programiranja je u velikoj mjeri u zavisnosti od vanjskih, okolinskih  uvjeta a cjelokupan pripremni (zimski) period prilagođava se produžavanjem njegovog trajanja kroz bazičnu, višestranu etapu pripreme budući da je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lastRenderedPageBreak/>
        <w:t xml:space="preserve">natjecateljski ( ljetni) period relativno kratkog trajanja.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U bazičnoj etapi razvoja snage i jakosti, naglasak je na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pliometrijskim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vježbama, olimpijskom dizanju utega i treninzima za razvoj anaerobno-alaktatne izdržljivosti.  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Ovdje će se dati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  primjer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modeliranja bazične etape pripreme za pjeskaše u Hrvatskoj sukladno klimatskim i  prostorno –vremenskim uvjetima te igračkim mogućnostima, te model pliometrijske progresije prema (Allerheiligen, Rogers, 1995) sa skokovima izabranih prema stupnju inteziteta prema (Čoh, 2004), (Radcliffe, Farentinos, 1998) i mjestu izvođenja.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>Tablica 1.</w:t>
      </w:r>
      <w:proofErr w:type="gramEnd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Model bazičnog pripremnog perioda za razvoj maksimalne snage i brzinske jakosti</w:t>
      </w:r>
    </w:p>
    <w:tbl>
      <w:tblPr>
        <w:tblW w:w="7905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50"/>
        <w:gridCol w:w="1116"/>
        <w:gridCol w:w="1103"/>
        <w:gridCol w:w="977"/>
        <w:gridCol w:w="1103"/>
        <w:gridCol w:w="998"/>
        <w:gridCol w:w="757"/>
        <w:gridCol w:w="801"/>
      </w:tblGrid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TJEDNI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PON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UTO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SRI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ČET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PET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SUB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NED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 xml:space="preserve">S: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 xml:space="preserve">S: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LI, AG,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RS,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6.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PLI, AG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PLI,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MS,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7.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AG,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lastRenderedPageBreak/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MS,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lastRenderedPageBreak/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AG,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lastRenderedPageBreak/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lastRenderedPageBreak/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MS,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8.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PLI, AG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PLI,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ES,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10.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AG,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PLI, 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11.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MAS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RS, AG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ES,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12.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: AG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ANALI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PLI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 xml:space="preserve">P: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ES,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RS, 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:UT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S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: AEI</w:t>
            </w:r>
          </w:p>
        </w:tc>
      </w:tr>
    </w:tbl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P- PIJESAK; T-TERETANA; S-STAZA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IS-izdržljivost u snazi (rad s vanjskim opterećenjem koji se može napraviti između 15 i 20 ponavljanja)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RS- repetitivna snaga (rad s vanjskim opterećenjem koji se može napraviti između 8 i 12 ponavljanja)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MS-maksimalna snaga(rad s vanjskim opterećenjem koji se može napraviti između 3i 7 ponavljanja)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ES- eksplozivna snaga( rad s vanjskim opterećenjem u brzom ritmu- 10 do 15 ponavljanja)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lastRenderedPageBreak/>
        <w:br/>
        <w:t>AG-trening agilnosti (trčanje s brzom promjenom pravca kretanja)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PLI- pliometrijski trening (trening skočnosti i trening s „medicinkama“)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AEI-aerobna izdržljivost (kontinuirano/intervalno trčanje u trajanju od 20 do 30 min)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MAS- maksimalna aerobna snaga (preskakanje konopca, penjanje i spuštanje s povišenja,trčanje). Odnos rada i odmora je 1:1 do 1:2,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npr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>. 60sec. rad 60sec. odmor ili 30 sec. rad, 60sec. odmor)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ANALI- anaerobna alaktatna izdržljivost. Trčanje dionica od 60 do 200 m, smečiranje, blokiranje…Odnos rada-odmor je 1:12 do 1:16 (npr. 10sec. rad, 120 do 160 sec. odmor)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UT-utakmica, O- odmor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Trening fleksibilnosti provodi se na početku i na kraju svakog treninga. Trening ravnoteže provodi se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početku svakog treninga.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proofErr w:type="gramStart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>Tablica 2.</w:t>
      </w:r>
      <w:proofErr w:type="gramEnd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 Model progresivnog pliometrijskog programa – pripremni period (bazična etapa)</w:t>
      </w:r>
    </w:p>
    <w:tbl>
      <w:tblPr>
        <w:tblW w:w="9300" w:type="dxa"/>
        <w:tblCellSpacing w:w="0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4"/>
        <w:gridCol w:w="2450"/>
        <w:gridCol w:w="1779"/>
        <w:gridCol w:w="1880"/>
        <w:gridCol w:w="1907"/>
      </w:tblGrid>
      <w:tr w:rsidR="00E94D26" w:rsidRPr="0015403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TJEDNI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(treninga tjedno)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 xml:space="preserve">VJEŽBE; br. ser. / br. </w:t>
            </w:r>
            <w:proofErr w:type="gramStart"/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pon.;</w:t>
            </w:r>
            <w:proofErr w:type="gramEnd"/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(pauza)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TRENAŽNI SADRŽAJI- pijesak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TRENAŽNI SADRŽAJI- teretana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b/>
                <w:bCs/>
                <w:color w:val="666666"/>
                <w:sz w:val="24"/>
                <w:szCs w:val="24"/>
              </w:rPr>
              <w:t>TRENAŽNI SADRŽAJI-staza</w:t>
            </w:r>
          </w:p>
        </w:tc>
      </w:tr>
      <w:tr w:rsidR="00E94D26" w:rsidRPr="00154036">
        <w:trPr>
          <w:trHeight w:val="9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1 – 2 ( 3)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4 vježbe niskog intenziteta; 2 x10 pon; (2 min. /serija)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Skokovi iz čučnja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 na sanduk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Flip iz gležnja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Sunožni brzi poskoci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 xml:space="preserve">Poskoci iz gležnja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Lateralni poskoci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Skok iz </w:t>
            </w: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polučučnja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skok sa suprotnim kretanjem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 xml:space="preserve">Troskok s mjesta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Progresivni vertikalni poskoci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Bočni poskoci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Bočni poskoci – sprint</w:t>
            </w:r>
          </w:p>
        </w:tc>
      </w:tr>
      <w:tr w:rsidR="00E94D26" w:rsidRPr="00154036">
        <w:trPr>
          <w:trHeight w:val="94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3 – 4 (3)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 vježbe niskog intenziteta, 2 vježbe srednjeg intenziteta; 2x10 pon; (2- 3 min. /serija)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Galopiranje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Brzi skip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Jednonožni poskoci u nizu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Zgrčni skok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Raketa, Zvijezda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 prednožno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skok sa zamahom ruku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Sunožni poskoci u nizu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Sunožni brzinski poskoci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Jednonožni skok s noge na nogu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Sunožni skokovi</w:t>
            </w:r>
          </w:p>
        </w:tc>
      </w:tr>
      <w:tr w:rsidR="00E94D26" w:rsidRPr="00154036">
        <w:trPr>
          <w:trHeight w:val="144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5 – 6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 vježbe srednjeg intenziteta, 2 vježbe visokog intenziteta; 2-3 x10 pon.; (2- 3  min. /serija)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Cik –  cak poskoci sunožno i jednonožno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skok sa zamahom ruku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Skokovi s noge na nogu u stranu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Dvostruke škare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Skok sa sunožnim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zabacivanjem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Zgrčni skok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 nakorakom na klupu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Naizmjenični skok nakorakom na klupu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Jednonožni poskoci u nizu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 sa sunožnim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Zabacivanjem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Atletski poskoci na jednoj nozi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Jednonožni brzi poskoci</w:t>
            </w:r>
          </w:p>
        </w:tc>
      </w:tr>
      <w:tr w:rsidR="00E94D26" w:rsidRPr="00154036">
        <w:trPr>
          <w:trHeight w:val="1410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lastRenderedPageBreak/>
              <w:t>7 – 8 (2)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 vježbe srednjeg intenziteta, 2 vježbe visokog intenziteta; 2-3 serije srednjeg i 2 serije vježbe visokog intenziteta;10-15 sec. / 2-3 min/serija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Poskoci pod kutom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Jednonožni poskoci s privlačenjem potkoljenice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eksplozivni skokovi s dizanjem koljena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Brzi jednostruki skok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Prepolovljeni skok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Škare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eksplozivni skokovi s dizanjem koljena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Vertikalni skok jednom nogom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Skok sa sunožnim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zabacivanjem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Zgrčni skok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Atletski poskoci na jednoj nozi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Skokovi s jedne na drugu nogu</w:t>
            </w:r>
          </w:p>
        </w:tc>
      </w:tr>
      <w:tr w:rsidR="00E94D26" w:rsidRPr="00154036">
        <w:trPr>
          <w:trHeight w:val="112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9 – 10 (1-2)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4 vježbe visokog intenziteta; 2-3 x10 pon. za vježbe bez kutija i 2 x10 za vježbe s kutijama;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3 min pauza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Dubinski skok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Naskok na sanduk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Skipovi na sanduk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Naizmjenični skok nakorakom  na sanduk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Skok nakorakom na klupu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Naizmjenični skok nakorakom na klupu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Skokovi s noge na nogu uporabom sanduka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Jednostruki dubinski sk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90" w:type="dxa"/>
              <w:bottom w:w="0" w:type="dxa"/>
              <w:right w:w="90" w:type="dxa"/>
            </w:tcMar>
            <w:hideMark/>
          </w:tcPr>
          <w:p w:rsidR="00E94D26" w:rsidRPr="00154036" w:rsidRDefault="00E94D26" w:rsidP="00E94D26">
            <w:pPr>
              <w:spacing w:after="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 xml:space="preserve">Dubinsko visinski skokovi 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Dubinsko –  daljinski skokovi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Alternativni poskoci s noge na nogu</w:t>
            </w:r>
          </w:p>
          <w:p w:rsidR="00E94D26" w:rsidRPr="00154036" w:rsidRDefault="00E94D26" w:rsidP="00E94D26">
            <w:pPr>
              <w:spacing w:before="240" w:after="240" w:line="324" w:lineRule="auto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154036"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Naizmjenični dijagonalni skokovi s noge na nogu</w:t>
            </w:r>
          </w:p>
        </w:tc>
      </w:tr>
    </w:tbl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lastRenderedPageBreak/>
        <w:t xml:space="preserve">ZAKLJUČAK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Obzirom da se specifične motoričke sposobnosti u odbojci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na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pijesku razvijaju u zavisnosti od uvjeta u kojima se treniraju, dakle sukladno klimatskim čimbenicima i prostornim mogućnostima (pijesak tereni) te da iste zahtijevaju vrhunsku tehničku dorađenost u točno uvježbavanim amplitudama, brzinama i reakcijama, nužno je da se kondicijski tretman maksimalno prilagodi biomehaničkim zahtjevima specifične strukture gibanja u pijesku.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proofErr w:type="gramStart"/>
      <w:r w:rsidRPr="00154036">
        <w:rPr>
          <w:rFonts w:ascii="Arial" w:eastAsia="Times New Roman" w:hAnsi="Arial" w:cs="Arial"/>
          <w:b/>
          <w:bCs/>
          <w:color w:val="666666"/>
          <w:sz w:val="24"/>
          <w:szCs w:val="24"/>
        </w:rPr>
        <w:t xml:space="preserve">LITERATURA 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1.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Allerheiligen, B. i Rogers, R. (1995).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Plyometrics Program Design.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NSCA Journal, 17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( 4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>), 26-31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2.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Dick, F. (1994).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Sports Training Principles.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A&amp;C Black Press.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3. Čoh, M. (2004).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Metodika i dijagnostika skočnosti u kondicijskoj pripremi sportaša, 2.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godišnja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međunarodna konvencija Kondicijska priprema sportaša, Zbornik radova, str. 104 – 118. Zagreb.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4. Giatsis, G., Kollias, I., Panoutsakopoulos, V. i Papaiakovou, G. (2004). Biomechanical differences in elite beach-volleyball players in vertical squat jump on rigid and sand surface. Sports Biomechanics, 3(1), 145-158.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5. Impellizzeri, F.M., Rampinini, E., Castagna, C., Martino, F., Fiorini, S. i Wisloff, U. (2008).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Effect of plyometric training on sand versus grass on muscle soreness and jumping and sprinting ability in soccer players.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British Journal of Sports Medicine, 42 42-46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6.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Lejeune, T.M., Willems, P.A. i Heglund, N.C. (2001).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Mechanics and energetics of human locomotion on sand.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Journal of Experimental Biology, 4(4), 416-430.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7. Pinnington, H.C. i Dawson, B. (2001). The energy cost of running on grass compared to soft dry beach sand. Journal of Science and Medicine in Sport, 4(4), 416-430.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8. Radciffe, Farentinos.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(1998). High – powered plyometrics.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Human Kinetics.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 xml:space="preserve">9. Shi-ming L.I. (2004).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Kinematics Analysis of Jump in Spike by Elite Sportsmen in Beach Volleyball.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Fujian Sports Science and Technology, (4)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10.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Smith, R. (2006). Movement in the Sand: Training Implications for Beach Volleyball. NSCA Journal, 28(5), 19-21.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lastRenderedPageBreak/>
        <w:t xml:space="preserve">11. Tilp, M., Wagner, H. i Mller E. (2008). Differences in 3D kinematics between volleyball and beach volleyball spike movements. Sports Biomechanics, 7(3),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386 - 397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12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.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Turpin-Perez, J.A., Cortell, J.M., Chinchilla, J.J., Cejuela, R. i Suarez, C. (2008).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</w:t>
      </w:r>
      <w:proofErr w:type="gramStart"/>
      <w:r w:rsidRPr="00154036">
        <w:rPr>
          <w:rFonts w:ascii="Arial" w:eastAsia="Times New Roman" w:hAnsi="Arial" w:cs="Arial"/>
          <w:color w:val="666666"/>
          <w:sz w:val="24"/>
          <w:szCs w:val="24"/>
        </w:rPr>
        <w:t>Analysis of jump patterns in competition for elite male Beach Volleyball players.</w:t>
      </w:r>
      <w:proofErr w:type="gramEnd"/>
      <w:r w:rsidRPr="00154036">
        <w:rPr>
          <w:rFonts w:ascii="Arial" w:eastAsia="Times New Roman" w:hAnsi="Arial" w:cs="Arial"/>
          <w:color w:val="666666"/>
          <w:sz w:val="24"/>
          <w:szCs w:val="24"/>
        </w:rPr>
        <w:t xml:space="preserve"> International Journal of Performance Analysis in Sport, 8(2), 94-101.</w:t>
      </w:r>
      <w:r w:rsidRPr="00154036">
        <w:rPr>
          <w:rFonts w:ascii="Arial" w:eastAsia="Times New Roman" w:hAnsi="Arial" w:cs="Arial"/>
          <w:color w:val="666666"/>
          <w:sz w:val="24"/>
          <w:szCs w:val="24"/>
        </w:rPr>
        <w:br/>
        <w:t>13. Zamparo, P., Perini, R., Orizio, C., Sacher, M., i Ferretti, G. (1992). The energy cost of walking or running on sand. European Journal of Applied Physiology, 65, 183-187.</w:t>
      </w:r>
    </w:p>
    <w:p w:rsidR="00E94D26" w:rsidRPr="00154036" w:rsidRDefault="00E94D26" w:rsidP="00E94D26">
      <w:pPr>
        <w:spacing w:before="240" w:after="240" w:line="324" w:lineRule="auto"/>
        <w:rPr>
          <w:rFonts w:ascii="Arial" w:eastAsia="Times New Roman" w:hAnsi="Arial" w:cs="Arial"/>
          <w:color w:val="666666"/>
          <w:sz w:val="24"/>
          <w:szCs w:val="24"/>
        </w:rPr>
      </w:pPr>
      <w:r w:rsidRPr="00154036">
        <w:rPr>
          <w:rFonts w:ascii="Arial" w:eastAsia="Times New Roman" w:hAnsi="Arial" w:cs="Arial"/>
          <w:color w:val="666666"/>
          <w:sz w:val="24"/>
          <w:szCs w:val="24"/>
        </w:rPr>
        <w:t> </w:t>
      </w:r>
    </w:p>
    <w:p w:rsidR="00077D21" w:rsidRPr="00154036" w:rsidRDefault="00077D21">
      <w:pPr>
        <w:rPr>
          <w:sz w:val="24"/>
          <w:szCs w:val="24"/>
        </w:rPr>
      </w:pPr>
    </w:p>
    <w:sectPr w:rsidR="00077D21" w:rsidRPr="00154036" w:rsidSect="00077D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hyphenationZone w:val="425"/>
  <w:characterSpacingControl w:val="doNotCompress"/>
  <w:compat/>
  <w:rsids>
    <w:rsidRoot w:val="00E94D26"/>
    <w:rsid w:val="00077D21"/>
    <w:rsid w:val="00154036"/>
    <w:rsid w:val="00D36DFA"/>
    <w:rsid w:val="00E94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E94D26"/>
    <w:rPr>
      <w:b/>
      <w:bCs/>
    </w:rPr>
  </w:style>
  <w:style w:type="paragraph" w:styleId="NormalWeb">
    <w:name w:val="Normal (Web)"/>
    <w:basedOn w:val="Normal"/>
    <w:uiPriority w:val="99"/>
    <w:unhideWhenUsed/>
    <w:rsid w:val="00E94D26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828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3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82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19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91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004327">
                                  <w:marLeft w:val="225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075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1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9390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2341</Words>
  <Characters>13348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</dc:creator>
  <cp:keywords/>
  <dc:description/>
  <cp:lastModifiedBy>Grgantov</cp:lastModifiedBy>
  <cp:revision>3</cp:revision>
  <dcterms:created xsi:type="dcterms:W3CDTF">2010-04-02T18:04:00Z</dcterms:created>
  <dcterms:modified xsi:type="dcterms:W3CDTF">2010-04-28T15:36:00Z</dcterms:modified>
</cp:coreProperties>
</file>